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8951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31"/>
        <w:gridCol w:w="4449"/>
        <w:gridCol w:w="1176"/>
        <w:gridCol w:w="1222"/>
        <w:gridCol w:w="1273"/>
      </w:tblGrid>
      <w:tr>
        <w:tblPrEx>
          <w:shd w:val="clear" w:color="auto" w:fill="auto"/>
        </w:tblPrEx>
        <w:trPr>
          <w:trHeight w:val="300" w:hRule="atLeast"/>
        </w:trPr>
        <w:tc>
          <w:tcPr>
            <w:tcW w:type="dxa" w:w="8951"/>
            <w:gridSpan w:val="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160" w:line="25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Maiandra GD"/>
                <w:u w:color="000000"/>
                <w:rtl w:val="0"/>
                <w:lang w:val="en-US"/>
              </w:rPr>
              <w:t>7.1</w:t>
            </w:r>
            <w:r>
              <w:rPr>
                <w:rFonts w:ascii="Maiandra GD"/>
                <w:u w:color="000000"/>
                <w:rtl w:val="0"/>
                <w:lang w:val="en-US"/>
              </w:rPr>
              <w:t>(b)</w:t>
            </w:r>
            <w:r>
              <w:rPr>
                <w:rFonts w:ascii="Maiandra GD" w:cs="Maiandra GD" w:hAnsi="Maiandra GD" w:eastAsia="Maiandra GD"/>
                <w:u w:color="000000"/>
                <w:rtl w:val="0"/>
                <w:lang w:val="en-US"/>
              </w:rPr>
              <w:tab/>
              <w:t xml:space="preserve">FORM OF TENDER </w:t>
            </w:r>
            <w:r>
              <w:rPr>
                <w:rFonts w:ascii="Maiandra GD"/>
                <w:u w:color="000000"/>
                <w:rtl w:val="0"/>
                <w:lang w:val="en-US"/>
              </w:rPr>
              <w:t xml:space="preserve">- </w:t>
            </w:r>
            <w:r>
              <w:rPr>
                <w:rFonts w:ascii="MaiandraGD-Regular"/>
                <w:u w:color="000000"/>
                <w:rtl w:val="0"/>
                <w:lang w:val="en-US"/>
              </w:rPr>
              <w:t>BREAKDOWN OF BID SUM</w:t>
            </w:r>
          </w:p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S.NO.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ITEM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AMOUNT (KSH.)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 xml:space="preserve">VAT </w:t>
            </w:r>
          </w:p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(KSH.)</w:t>
            </w:r>
          </w:p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 xml:space="preserve">TOTAL </w:t>
            </w:r>
          </w:p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(KSH.)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A</w:t>
            </w:r>
          </w:p>
        </w:tc>
        <w:tc>
          <w:tcPr>
            <w:tcW w:type="dxa" w:w="811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COMMODITY EXCHANGE TRADING TECHNOLOGY SUITE</w:t>
            </w:r>
          </w:p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On Premise and Cloud Server (Hybrid) Software Systems Supply, Delivery, Installation &amp; Customization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2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 xml:space="preserve">On Premise and Cloud Server (Hybrid) Software Systems Integrations to 1st-party &amp; 3rd-party Systems 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3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 xml:space="preserve">End User Training, User Acceptance Testing &amp; </w:t>
            </w:r>
            <w:r>
              <w:rPr>
                <w:rFonts w:hAnsi="MaiandraGD-Regular" w:hint="default"/>
                <w:sz w:val="18"/>
                <w:szCs w:val="18"/>
                <w:rtl w:val="0"/>
              </w:rPr>
              <w:t>“</w:t>
            </w:r>
            <w:r>
              <w:rPr>
                <w:rFonts w:ascii="MaiandraGD-Regular"/>
                <w:sz w:val="18"/>
                <w:szCs w:val="18"/>
                <w:rtl w:val="0"/>
              </w:rPr>
              <w:t>Go Live</w:t>
            </w:r>
            <w:r>
              <w:rPr>
                <w:rFonts w:hAnsi="MaiandraGD-Regular" w:hint="default"/>
                <w:sz w:val="18"/>
                <w:szCs w:val="18"/>
                <w:rtl w:val="0"/>
              </w:rPr>
              <w:t xml:space="preserve">” </w:t>
            </w:r>
            <w:r>
              <w:rPr>
                <w:rFonts w:ascii="MaiandraGD-Regular"/>
                <w:sz w:val="18"/>
                <w:szCs w:val="18"/>
                <w:rtl w:val="0"/>
              </w:rPr>
              <w:t>Commissioning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Sub-Total A (Total 1+2+3)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B</w:t>
            </w:r>
          </w:p>
        </w:tc>
        <w:tc>
          <w:tcPr>
            <w:tcW w:type="dxa" w:w="811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 xml:space="preserve">EQUIPMENT </w:t>
            </w:r>
            <w:r>
              <w:rPr>
                <w:rFonts w:ascii="MaiandraGD-Regular"/>
                <w:sz w:val="18"/>
                <w:szCs w:val="18"/>
                <w:rtl w:val="0"/>
                <w:lang w:val="en-US"/>
              </w:rPr>
              <w:t>(Attach quotations &amp; price schedule based on bidder sizing recommendations)</w:t>
            </w:r>
            <w:r>
              <w:rPr>
                <w:rFonts w:ascii="Maiandra GD"/>
                <w:sz w:val="18"/>
                <w:szCs w:val="18"/>
                <w:rtl w:val="0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68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4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On premise/Colocation Data Centre Core Equipment Supply, Delivery &amp; Installation as per Section 4 Technical Requirements items 4.4 and 4.5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Sub-Total B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ONE-OFF FIXED BID SUM (Sub-Totals A+B)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C</w:t>
            </w:r>
          </w:p>
        </w:tc>
        <w:tc>
          <w:tcPr>
            <w:tcW w:type="dxa" w:w="811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 xml:space="preserve">ANNUALIZED SYSTEM SUPPORT SERVICE FEES </w:t>
            </w:r>
            <w:r>
              <w:rPr>
                <w:rFonts w:ascii="MaiandraGD-Regular"/>
                <w:sz w:val="18"/>
                <w:szCs w:val="18"/>
                <w:rtl w:val="0"/>
              </w:rPr>
              <w:t>(</w:t>
            </w:r>
            <w:r>
              <w:rPr>
                <w:rFonts w:ascii="MaiandraGD-Regular"/>
                <w:sz w:val="18"/>
                <w:szCs w:val="18"/>
                <w:rtl w:val="0"/>
                <w:lang w:val="en-US"/>
              </w:rPr>
              <w:t>Expenses reimbursable monthly/quarterly</w:t>
            </w:r>
            <w:r>
              <w:rPr>
                <w:rFonts w:ascii="MaiandraGD-Regular"/>
                <w:sz w:val="18"/>
                <w:szCs w:val="18"/>
                <w:rtl w:val="0"/>
              </w:rPr>
              <w:t>)</w:t>
            </w:r>
            <w:r>
              <w:rPr>
                <w:rFonts w:ascii="Maiandra GD"/>
                <w:sz w:val="18"/>
                <w:szCs w:val="18"/>
                <w:rtl w:val="0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5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Proposed Project Staff Remuneration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8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6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Transport &amp; Daily Subsistence Allowances (Foreign &amp; Local) subject to prior written approval by SDT and KOMEX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7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Other, Communications, Printing, Incidentals, etc.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Sub-Total C (Total 5+6+7)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D</w:t>
            </w:r>
          </w:p>
        </w:tc>
        <w:tc>
          <w:tcPr>
            <w:tcW w:type="dxa" w:w="811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ANNUALIZED SYSTEM LICENSE, MAINTENANCE AND HOSTING FEES</w:t>
            </w:r>
            <w:r>
              <w:rPr>
                <w:rFonts w:ascii="MaiandraGD-Regular"/>
                <w:sz w:val="18"/>
                <w:szCs w:val="18"/>
                <w:rtl w:val="0"/>
                <w:lang w:val="en-US"/>
              </w:rPr>
              <w:t xml:space="preserve"> (Attach quotations based on bidder recommendations) 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8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Annual License Fees/Renewal (Software &amp; Database)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9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Annual Maintenance Contract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10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Cloud Hosting (Third Party)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Sub-Total D (Total 8+9+10)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ANNUALIZED FIXED BID SUM (Sub-Totals C+D)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E</w:t>
            </w:r>
          </w:p>
        </w:tc>
        <w:tc>
          <w:tcPr>
            <w:tcW w:type="dxa" w:w="811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 xml:space="preserve">ANNUALIZED VARIABLE SYSTEM SUPPORT SERVICE FEES </w:t>
            </w:r>
            <w:r>
              <w:rPr>
                <w:rFonts w:ascii="MaiandraGD-Regular"/>
                <w:sz w:val="18"/>
                <w:szCs w:val="18"/>
                <w:rtl w:val="0"/>
                <w:lang w:val="en-US"/>
              </w:rPr>
              <w:t xml:space="preserve">(Fees based on number of Systems Users) 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11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MaiandraGD-Regular"/>
                <w:sz w:val="18"/>
                <w:szCs w:val="18"/>
                <w:u w:color="000000"/>
                <w:rtl w:val="0"/>
              </w:rPr>
              <w:t>Member Registration &amp; Training Support Fees per user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12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Software Support Services Fees per Registered user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68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ANNUALIZED VARIABLE BID SUM (E) Sub-Total E (Total 11+12)</w:t>
            </w:r>
          </w:p>
          <w:p>
            <w:pPr>
              <w:pStyle w:val="Table Style 2"/>
            </w:pP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F</w:t>
            </w:r>
          </w:p>
        </w:tc>
        <w:tc>
          <w:tcPr>
            <w:tcW w:type="dxa" w:w="811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 xml:space="preserve">OPTIONAL FEES (Paid less any similar fees already paid by time of exercising the option) </w:t>
            </w:r>
          </w:p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14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One-off Software License Fees (should not exceed annual license fees for 10 years)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Sub-Total F (Total 14)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G</w:t>
            </w:r>
          </w:p>
        </w:tc>
        <w:tc>
          <w:tcPr>
            <w:tcW w:type="dxa" w:w="8119"/>
            <w:gridSpan w:val="4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 xml:space="preserve">INTEGRATED PAYMENT GATEWAY FEES </w:t>
            </w:r>
            <w:r>
              <w:rPr>
                <w:rFonts w:ascii="MaiandraGD-Regular"/>
                <w:sz w:val="18"/>
                <w:szCs w:val="18"/>
                <w:rtl w:val="0"/>
                <w:lang w:val="en-US"/>
              </w:rPr>
              <w:t>(Fees to be incurred by users for receivables and payments</w:t>
            </w:r>
            <w:r>
              <w:rPr>
                <w:rFonts w:ascii="MaiandraGD-Regular"/>
                <w:sz w:val="18"/>
                <w:szCs w:val="18"/>
                <w:rtl w:val="0"/>
                <w:lang w:val="en-US"/>
              </w:rPr>
              <w:t xml:space="preserve"> exclusive of taxes</w:t>
            </w:r>
            <w:r>
              <w:rPr>
                <w:rFonts w:ascii="MaiandraGD-Regular"/>
                <w:sz w:val="18"/>
                <w:szCs w:val="18"/>
                <w:rtl w:val="0"/>
              </w:rPr>
              <w:t xml:space="preserve">) </w:t>
            </w:r>
          </w:p>
        </w:tc>
      </w:tr>
      <w:tr>
        <w:tblPrEx>
          <w:shd w:val="clear" w:color="auto" w:fill="auto"/>
        </w:tblPrEx>
        <w:trPr>
          <w:trHeight w:val="460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S.NO.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ITEM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Flat Charge</w:t>
            </w:r>
          </w:p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(KSHS.)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Minimum</w:t>
            </w:r>
          </w:p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Rate (%)</w:t>
            </w:r>
          </w:p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 GD"/>
                <w:sz w:val="18"/>
                <w:szCs w:val="18"/>
                <w:rtl w:val="0"/>
              </w:rPr>
              <w:t>Maximum Rate (%)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15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Mobile Cash Transaction Fees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16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Mobile/Online Banking Transfers Transaction Fees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17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Online Credit/Debit Card Transaction Fees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MaiandraGD-Regular"/>
                <w:sz w:val="18"/>
                <w:szCs w:val="18"/>
                <w:rtl w:val="0"/>
              </w:rPr>
              <w:t>18</w:t>
            </w:r>
          </w:p>
        </w:tc>
        <w:tc>
          <w:tcPr>
            <w:tcW w:type="dxa" w:w="4448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GD-Regular"/>
                <w:sz w:val="18"/>
                <w:szCs w:val="18"/>
                <w:rtl w:val="0"/>
              </w:rPr>
              <w:t>PDQ Transaction Fees</w:t>
            </w:r>
          </w:p>
        </w:tc>
        <w:tc>
          <w:tcPr>
            <w:tcW w:type="dxa" w:w="1175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83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624"/>
            <w:gridSpan w:val="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Maiandra GD"/>
                <w:sz w:val="18"/>
                <w:szCs w:val="18"/>
                <w:rtl w:val="0"/>
              </w:rPr>
              <w:t>Sub-Total G (Total 15+16+17+18)</w:t>
            </w:r>
          </w:p>
        </w:tc>
        <w:tc>
          <w:tcPr>
            <w:tcW w:type="dxa" w:w="1221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72"/>
            <w:tcBorders>
              <w:top w:val="single" w:color="515151" w:sz="8" w:space="0" w:shadow="0" w:frame="0"/>
              <w:left w:val="single" w:color="515151" w:sz="8" w:space="0" w:shadow="0" w:frame="0"/>
              <w:bottom w:val="single" w:color="515151" w:sz="8" w:space="0" w:shadow="0" w:frame="0"/>
              <w:right w:val="single" w:color="515151" w:sz="8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Fonts w:ascii="MaiandraGD-Regular" w:cs="MaiandraGD-Regular" w:hAnsi="MaiandraGD-Regular" w:eastAsia="MaiandraGD-Regular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Signed:</w:t>
        <w:tab/>
        <w:tab/>
        <w:tab/>
        <w:tab/>
        <w:tab/>
        <w:tab/>
      </w:r>
      <w:r>
        <w:rPr>
          <w:rFonts w:ascii="Maiandra GD"/>
          <w:sz w:val="24"/>
          <w:szCs w:val="24"/>
          <w:u w:color="000000"/>
          <w:rtl w:val="0"/>
          <w:lang w:val="en-US"/>
        </w:rPr>
        <w:t>Date: ______________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_____________________________</w:t>
      </w:r>
      <w:r>
        <w:rPr>
          <w:rFonts w:ascii="Maiandra GD"/>
          <w:sz w:val="24"/>
          <w:szCs w:val="24"/>
          <w:u w:color="000000"/>
          <w:rtl w:val="0"/>
          <w:lang w:val="en-US"/>
        </w:rPr>
        <w:t>__________</w:t>
        <w:tab/>
        <w:t xml:space="preserve">Company 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Stamp:</w:t>
      </w:r>
    </w:p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Lead Bidder</w:t>
      </w:r>
      <w:r>
        <w:rPr>
          <w:rFonts w:hAnsi="Maiandra GD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Maiandra GD"/>
          <w:sz w:val="24"/>
          <w:szCs w:val="24"/>
          <w:u w:color="000000"/>
          <w:rtl w:val="0"/>
          <w:lang w:val="en-US"/>
        </w:rPr>
        <w:t>s Authorised Representative</w:t>
      </w: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tl w:val="0"/>
        </w:rPr>
      </w:pPr>
      <w:r>
        <w:rPr>
          <w:rFonts w:ascii="MaiandraGD-Regular" w:cs="MaiandraGD-Regular" w:hAnsi="MaiandraGD-Regular" w:eastAsia="MaiandraGD-Regular"/>
          <w:u w:color="000000"/>
          <w:rtl w:val="0"/>
        </w:rPr>
        <w:br w:type="textWrapping"/>
      </w:r>
      <w:r>
        <w:rPr>
          <w:rFonts w:ascii="MaiandraGD-Regular" w:cs="MaiandraGD-Regular" w:hAnsi="MaiandraGD-Regular" w:eastAsia="MaiandraGD-Regular"/>
          <w:u w:color="000000"/>
          <w:rtl w:val="0"/>
        </w:rPr>
        <w:br w:type="page"/>
      </w:r>
    </w:p>
    <w:p>
      <w:pPr>
        <w:pStyle w:val="Body"/>
        <w:bidi w:val="0"/>
        <w:spacing w:after="160" w:line="259" w:lineRule="auto"/>
        <w:ind w:left="0" w:right="0" w:firstLine="0"/>
        <w:jc w:val="both"/>
        <w:rPr>
          <w:rtl w:val="0"/>
        </w:rPr>
      </w:pP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